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autofit"/>
        <w:tblLook w:firstColumn="1" w:firstRow="1" w:lastColumn="0" w:lastRow="0" w:noHBand="0" w:noVBand="1" w:val="04A0"/>
      </w:tblPr>
      <w:tblGrid>
        <w:gridCol w:w="9406"/>
      </w:tblGrid>
      <w:tr>
        <w:tc>
          <w:tcPr>
            <w:tcW w:type="dxa" w:w="9406"/>
            <w:shd w:fill="EAF4FA"/>
            <w:tcMar>
              <w:top w:w="120" w:type="dxa"/>
              <w:start w:w="160" w:type="dxa"/>
              <w:bottom w:w="120" w:type="dxa"/>
              <w:end w:w="160" w:type="dxa"/>
            </w:tcMar>
          </w:tcPr>
          <w:p>
            <w:pPr>
              <w:jc w:val="center"/>
            </w:pPr>
            <w:r>
              <w:rPr>
                <w:rFonts w:ascii="Arial" w:hAnsi="Arial"/>
                <w:b/>
                <w:color w:val="0B5F93"/>
                <w:sz w:val="18"/>
              </w:rPr>
              <w:t>FORMATTING SAMPLE ONLY - NOT A PUBLISHED ARTICLE</w:t>
            </w:r>
          </w:p>
          <w:p>
            <w:pPr>
              <w:jc w:val="center"/>
            </w:pPr>
            <w:r>
              <w:rPr>
                <w:rFonts w:ascii="Arial" w:hAnsi="Arial"/>
                <w:b w:val="0"/>
                <w:color w:val="4A6678"/>
                <w:sz w:val="17"/>
              </w:rPr>
              <w:t>The scientific content and numerical values in this sample are illustrative.</w:t>
            </w:r>
          </w:p>
        </w:tc>
      </w:tr>
    </w:tbl>
    <w:p/>
    <w:p>
      <w:pPr>
        <w:pStyle w:val="Title"/>
        <w:jc w:val="center"/>
      </w:pPr>
      <w:r>
        <w:rPr>
          <w:rFonts w:ascii="Times New Roman" w:hAnsi="Times New Roman"/>
          <w:b/>
          <w:sz w:val="32"/>
        </w:rPr>
        <w:t>An Interdisciplinary AI-Enabled Remote Sensing Framework for Climate-Resilient Geohazard Assessment</w:t>
      </w:r>
    </w:p>
    <w:p>
      <w:pPr>
        <w:jc w:val="center"/>
      </w:pPr>
      <w:r>
        <w:rPr>
          <w:rFonts w:ascii="Times New Roman" w:hAnsi="Times New Roman"/>
          <w:b/>
          <w:sz w:val="22"/>
        </w:rPr>
        <w:t>A. Author1, B. Author2, C. Author3*</w:t>
      </w:r>
    </w:p>
    <w:p>
      <w:pPr>
        <w:jc w:val="center"/>
      </w:pPr>
      <w:r>
        <w:rPr>
          <w:rFonts w:ascii="Times New Roman" w:hAnsi="Times New Roman"/>
          <w:sz w:val="19"/>
        </w:rPr>
        <w:t>1 Department / Institution, City, Country</w:t>
      </w:r>
    </w:p>
    <w:p>
      <w:pPr>
        <w:jc w:val="center"/>
      </w:pPr>
      <w:r>
        <w:rPr>
          <w:rFonts w:ascii="Times New Roman" w:hAnsi="Times New Roman"/>
          <w:sz w:val="19"/>
        </w:rPr>
        <w:t>2 Department / Institution, City, Country</w:t>
      </w:r>
    </w:p>
    <w:p>
      <w:pPr>
        <w:jc w:val="center"/>
      </w:pPr>
      <w:r>
        <w:rPr>
          <w:rFonts w:ascii="Times New Roman" w:hAnsi="Times New Roman"/>
          <w:sz w:val="19"/>
        </w:rPr>
        <w:t>* Corresponding author: corresponding.author@example.org | ORCID: 0000-0000-0000-0000</w:t>
      </w:r>
    </w:p>
    <w:p>
      <w:pPr>
        <w:jc w:val="center"/>
      </w:pPr>
      <w:r>
        <w:rPr>
          <w:rFonts w:ascii="Arial" w:hAnsi="Arial"/>
          <w:b/>
          <w:color w:val="315B75"/>
          <w:sz w:val="17"/>
        </w:rPr>
        <w:t>Submission format: A4 | Single column | Times New Roman 11 pt | 1.15 spacing | Continuous line numbering</w:t>
      </w:r>
    </w:p>
    <w:p>
      <w:pPr>
        <w:jc w:val="center"/>
      </w:pPr>
      <w:r>
        <w:rPr>
          <w:rFonts w:ascii="Arial" w:hAnsi="Arial"/>
          <w:b w:val="0"/>
          <w:color w:val="4A6678"/>
          <w:sz w:val="17"/>
        </w:rPr>
        <w:t>Final accepted articles will be professionally typeset by the publisher in a two-column publication layout.</w:t>
      </w:r>
    </w:p>
    <w:p>
      <w:pPr>
        <w:pStyle w:val="Heading1"/>
      </w:pPr>
      <w:r>
        <w:t>Abstract</w:t>
      </w:r>
    </w:p>
    <w:p>
      <w:pPr>
        <w:jc w:val="both"/>
      </w:pPr>
      <w:r>
        <w:t>This document demonstrates the recommended EJSII submission format. It illustrates how authors should present an interdisciplinary study that combines remote sensing, environmental variables, and machine learning. The example workflow integrates heterogeneous data sources, applies quality-control and modeling stages, and emphasizes independent validation, reproducibility, and scientific interpretation. Numerical values, citations, and findings are illustrative and must not be treated as research results. Authors should replace all example material with verified study-specific content and should report limitations, uncertainty, ethics, data availability, and conflicts of interest where applicable.</w:t>
      </w:r>
    </w:p>
    <w:p>
      <w:r>
        <w:rPr>
          <w:rFonts w:ascii="Times New Roman" w:hAnsi="Times New Roman"/>
          <w:b/>
          <w:sz w:val="21"/>
        </w:rPr>
        <w:t xml:space="preserve">Keywords: </w:t>
      </w:r>
      <w:r>
        <w:rPr>
          <w:rFonts w:ascii="Times New Roman" w:hAnsi="Times New Roman"/>
          <w:sz w:val="21"/>
        </w:rPr>
        <w:t>interdisciplinary science; remote sensing; machine learning; geohazards; climate resilience; data integration</w:t>
      </w:r>
    </w:p>
    <w:p>
      <w:pPr>
        <w:pStyle w:val="Heading1"/>
      </w:pPr>
      <w:r>
        <w:t>1. Introduction</w:t>
      </w:r>
    </w:p>
    <w:p>
      <w:pPr>
        <w:jc w:val="both"/>
      </w:pPr>
      <w:r>
        <w:t>Complex environmental hazards often require evidence from multiple scientific domains. Remote sensing provides spatial observations, environmental datasets describe triggering conditions, and machine-learning methods can support pattern recognition. A well-designed interdisciplinary study should integrate these components rather than treating them as disconnected analyses.</w:t>
      </w:r>
    </w:p>
    <w:p>
      <w:pPr>
        <w:jc w:val="both"/>
      </w:pPr>
      <w:r>
        <w:t>This formatting sample uses a hypothetical geohazard-assessment study to demonstrate EJSII structure. The example does not report real experimental findings. In an actual manuscript, authors should establish the literature gap with numbered citations in the order of first appearance [1, 2] and should clearly explain the scientific integration that motivates the work [3-5].</w:t>
      </w:r>
    </w:p>
    <w:p>
      <w:pPr>
        <w:pStyle w:val="Heading1"/>
      </w:pPr>
      <w:r>
        <w:t>2. Materials and Methods</w:t>
      </w:r>
    </w:p>
    <w:p>
      <w:pPr>
        <w:jc w:val="both"/>
      </w:pPr>
      <w:r>
        <w:t>Example study design. Satellite imagery, terrain variables, rainfall indicators, and infrastructure-related covariates are harmonized within a common spatial framework. Data are partitioned before model development to prevent leakage, and all preprocessing decisions are documented for reproducibility.</w:t>
      </w:r>
    </w:p>
    <w:p>
      <w:pPr>
        <w:pStyle w:val="Heading2"/>
      </w:pPr>
      <w:r>
        <w:t>Algorithm Example</w:t>
      </w:r>
    </w:p>
    <w:p>
      <w:r>
        <w:rPr>
          <w:rFonts w:ascii="Times New Roman" w:hAnsi="Times New Roman"/>
          <w:b/>
          <w:sz w:val="20"/>
        </w:rPr>
        <w:t>Algorithm 1. Example interdisciplinary data-integration workflow</w:t>
      </w:r>
    </w:p>
    <w:tbl>
      <w:tblPr>
        <w:tblStyle w:val="TableGrid"/>
        <w:tblW w:type="auto" w:w="0"/>
        <w:jc w:val="center"/>
        <w:tblLook w:firstColumn="1" w:firstRow="1" w:lastColumn="0" w:lastRow="0" w:noHBand="0" w:noVBand="1" w:val="04A0"/>
      </w:tblPr>
      <w:tblGrid>
        <w:gridCol w:w="9406"/>
      </w:tblGrid>
      <w:tr>
        <w:tc>
          <w:tcPr>
            <w:tcW w:type="dxa" w:w="9406"/>
            <w:tcMar>
              <w:top w:w="120" w:type="dxa"/>
              <w:start w:w="150" w:type="dxa"/>
              <w:bottom w:w="120" w:type="dxa"/>
              <w:end w:w="150" w:type="dxa"/>
            </w:tcMar>
            <w:shd w:fill="F7FAFC"/>
          </w:tcPr>
          <w:p>
            <w:pPr>
              <w:spacing w:after="40"/>
            </w:pPr>
            <w:r>
              <w:rPr>
                <w:rFonts w:ascii="Courier New" w:hAnsi="Courier New"/>
                <w:b/>
                <w:sz w:val="18"/>
              </w:rPr>
              <w:t>Input: Multimodal dataset D = {imagery, sensor data, tabular variables}</w:t>
            </w:r>
          </w:p>
          <w:p>
            <w:pPr>
              <w:spacing w:after="40"/>
            </w:pPr>
            <w:r>
              <w:rPr>
                <w:rFonts w:ascii="Courier New" w:hAnsi="Courier New"/>
                <w:b/>
                <w:sz w:val="18"/>
              </w:rPr>
              <w:t>Output: Validated prediction and interpretable scientific report R</w:t>
            </w:r>
          </w:p>
          <w:p>
            <w:pPr>
              <w:spacing w:after="40"/>
            </w:pPr>
            <w:r>
              <w:rPr>
                <w:rFonts w:ascii="Courier New" w:hAnsi="Courier New"/>
                <w:b w:val="0"/>
                <w:sz w:val="18"/>
              </w:rPr>
              <w:t>1: Perform quality control and harmonize all input sources.</w:t>
            </w:r>
          </w:p>
          <w:p>
            <w:pPr>
              <w:spacing w:after="40"/>
            </w:pPr>
            <w:r>
              <w:rPr>
                <w:rFonts w:ascii="Courier New" w:hAnsi="Courier New"/>
                <w:b w:val="0"/>
                <w:sz w:val="18"/>
              </w:rPr>
              <w:t>2: Partition D into training, validation, and independent test subsets.</w:t>
            </w:r>
          </w:p>
          <w:p>
            <w:pPr>
              <w:spacing w:after="40"/>
            </w:pPr>
            <w:r>
              <w:rPr>
                <w:rFonts w:ascii="Courier New" w:hAnsi="Courier New"/>
                <w:b w:val="0"/>
                <w:sz w:val="18"/>
              </w:rPr>
              <w:t>3: Extract domain-specific features using appropriate scientific methods.</w:t>
            </w:r>
          </w:p>
          <w:p>
            <w:pPr>
              <w:spacing w:after="40"/>
            </w:pPr>
            <w:r>
              <w:rPr>
                <w:rFonts w:ascii="Courier New" w:hAnsi="Courier New"/>
                <w:b w:val="0"/>
                <w:sz w:val="18"/>
              </w:rPr>
              <w:t>4: Train the predictive model using only the training subset.</w:t>
            </w:r>
          </w:p>
          <w:p>
            <w:pPr>
              <w:spacing w:after="40"/>
            </w:pPr>
            <w:r>
              <w:rPr>
                <w:rFonts w:ascii="Courier New" w:hAnsi="Courier New"/>
                <w:b w:val="0"/>
                <w:sz w:val="18"/>
              </w:rPr>
              <w:t>5: Integrate model outputs with domain constraints and uncertainty estimates.</w:t>
            </w:r>
          </w:p>
          <w:p>
            <w:pPr>
              <w:spacing w:after="40"/>
            </w:pPr>
            <w:r>
              <w:rPr>
                <w:rFonts w:ascii="Courier New" w:hAnsi="Courier New"/>
                <w:b w:val="0"/>
                <w:sz w:val="18"/>
              </w:rPr>
              <w:t>6: Evaluate performance on the independent test subset.</w:t>
            </w:r>
          </w:p>
          <w:p>
            <w:pPr>
              <w:spacing w:after="40"/>
            </w:pPr>
            <w:r>
              <w:rPr>
                <w:rFonts w:ascii="Courier New" w:hAnsi="Courier New"/>
                <w:b w:val="0"/>
                <w:sz w:val="18"/>
              </w:rPr>
              <w:t>7: Report accuracy, robustness, limitations, and reproducibility information.</w:t>
            </w:r>
          </w:p>
          <w:p>
            <w:pPr>
              <w:spacing w:after="40"/>
            </w:pPr>
            <w:r>
              <w:rPr>
                <w:rFonts w:ascii="Courier New" w:hAnsi="Courier New"/>
                <w:b w:val="0"/>
                <w:sz w:val="18"/>
              </w:rPr>
              <w:t>8: Return R.</w:t>
            </w:r>
          </w:p>
        </w:tc>
      </w:tr>
    </w:tbl>
    <w:p>
      <w:pPr>
        <w:pStyle w:val="Heading2"/>
      </w:pPr>
      <w:r>
        <w:t>Equation Example</w:t>
      </w:r>
    </w:p>
    <w:p>
      <w:pPr>
        <w:jc w:val="center"/>
      </w:pPr>
      <w:r>
        <w:rPr>
          <w:rFonts w:ascii="Times New Roman" w:hAnsi="Times New Roman"/>
          <w:b w:val="0"/>
          <w:sz w:val="22"/>
        </w:rPr>
        <w:t>Score = α × Performance + β × Robustness + γ × Interpretability     (1)</w:t>
      </w:r>
    </w:p>
    <w:p>
      <w:pPr>
        <w:pStyle w:val="Instruction"/>
      </w:pPr>
      <w:r>
        <w:t>Center equations, define every symbol at first use, and number only equations that are cited later in the text: (1), (2), (3), ...</w:t>
      </w:r>
    </w:p>
    <w:p>
      <w:pPr>
        <w:pStyle w:val="Heading2"/>
      </w:pPr>
      <w:r>
        <w:t>Figure Example</w:t>
      </w:r>
    </w:p>
    <w:p>
      <w:pPr>
        <w:jc w:val="center"/>
      </w:pPr>
      <w:r>
        <w:drawing>
          <wp:inline xmlns:a="http://schemas.openxmlformats.org/drawingml/2006/main" xmlns:pic="http://schemas.openxmlformats.org/drawingml/2006/picture">
            <wp:extent cx="5715000" cy="2428875"/>
            <wp:docPr id="1" name="Picture 1"/>
            <wp:cNvGraphicFramePr>
              <a:graphicFrameLocks noChangeAspect="1"/>
            </wp:cNvGraphicFramePr>
            <a:graphic>
              <a:graphicData uri="http://schemas.openxmlformats.org/drawingml/2006/picture">
                <pic:pic>
                  <pic:nvPicPr>
                    <pic:cNvPr id="0" name="example_workflow.png"/>
                    <pic:cNvPicPr/>
                  </pic:nvPicPr>
                  <pic:blipFill>
                    <a:blip r:embed="rId11"/>
                    <a:stretch>
                      <a:fillRect/>
                    </a:stretch>
                  </pic:blipFill>
                  <pic:spPr>
                    <a:xfrm>
                      <a:off x="0" y="0"/>
                      <a:ext cx="5715000" cy="2428875"/>
                    </a:xfrm>
                    <a:prstGeom prst="rect"/>
                  </pic:spPr>
                </pic:pic>
              </a:graphicData>
            </a:graphic>
          </wp:inline>
        </w:drawing>
      </w:r>
    </w:p>
    <w:p>
      <w:pPr>
        <w:pStyle w:val="CaptionEJSII"/>
        <w:jc w:val="left"/>
      </w:pPr>
      <w:r>
        <w:rPr>
          <w:rFonts w:ascii="Times New Roman" w:hAnsi="Times New Roman"/>
          <w:sz w:val="20"/>
        </w:rPr>
        <w:t>Figure 1. Example interdisciplinary research workflow integrating multimodal data, AI modeling, cross-domain scientific interpretation, and independent validation.</w:t>
      </w:r>
    </w:p>
    <w:p>
      <w:pPr>
        <w:pStyle w:val="Instruction"/>
      </w:pPr>
      <w:r>
        <w:t>Figure captions are placed below figures. Cite each figure in numerical order in the text, for example: “As shown in Figure 1, ...”.</w:t>
      </w:r>
    </w:p>
    <w:p>
      <w:pPr>
        <w:pStyle w:val="Heading1"/>
      </w:pPr>
      <w:r>
        <w:t>3. Results</w:t>
      </w:r>
    </w:p>
    <w:p>
      <w:pPr>
        <w:jc w:val="both"/>
      </w:pPr>
      <w:r>
        <w:t>Results should be reported with verified values, uncertainty measures, and appropriate comparisons. Table 1 demonstrates the preferred table-title placement and a compact comparison structure. The values are placeholders only.</w:t>
      </w:r>
    </w:p>
    <w:p>
      <w:pPr>
        <w:pStyle w:val="Heading2"/>
      </w:pPr>
      <w:r>
        <w:t>Table Example</w:t>
      </w:r>
    </w:p>
    <w:p>
      <w:r>
        <w:rPr>
          <w:rFonts w:ascii="Times New Roman" w:hAnsi="Times New Roman"/>
          <w:b/>
          <w:sz w:val="20"/>
        </w:rPr>
        <w:t>Table 1. Example comparison of illustrative model configurations.</w:t>
      </w:r>
    </w:p>
    <w:tbl>
      <w:tblPr>
        <w:tblStyle w:val="TableGrid"/>
        <w:tblW w:type="auto" w:w="0"/>
        <w:jc w:val="center"/>
        <w:tblLook w:firstColumn="1" w:firstRow="1" w:lastColumn="0" w:lastRow="0" w:noHBand="0" w:noVBand="1" w:val="04A0"/>
      </w:tblPr>
      <w:tblGrid>
        <w:gridCol w:w="2351"/>
        <w:gridCol w:w="2351"/>
        <w:gridCol w:w="2351"/>
        <w:gridCol w:w="2351"/>
      </w:tblGrid>
      <w:tr>
        <w:tc>
          <w:tcPr>
            <w:tcW w:type="dxa" w:w="2351"/>
            <w:shd w:fill="DCEAF3"/>
            <w:vAlign w:val="center"/>
          </w:tcPr>
          <w:p>
            <w:r>
              <w:rPr>
                <w:rFonts w:ascii="Arial" w:hAnsi="Arial"/>
                <w:b/>
                <w:sz w:val="18"/>
              </w:rPr>
              <w:t>Configuration</w:t>
            </w:r>
          </w:p>
        </w:tc>
        <w:tc>
          <w:tcPr>
            <w:tcW w:type="dxa" w:w="2351"/>
            <w:shd w:fill="DCEAF3"/>
            <w:vAlign w:val="center"/>
          </w:tcPr>
          <w:p>
            <w:r>
              <w:rPr>
                <w:rFonts w:ascii="Arial" w:hAnsi="Arial"/>
                <w:b/>
                <w:sz w:val="18"/>
              </w:rPr>
              <w:t>Accuracy</w:t>
            </w:r>
          </w:p>
        </w:tc>
        <w:tc>
          <w:tcPr>
            <w:tcW w:type="dxa" w:w="2351"/>
            <w:shd w:fill="DCEAF3"/>
            <w:vAlign w:val="center"/>
          </w:tcPr>
          <w:p>
            <w:r>
              <w:rPr>
                <w:rFonts w:ascii="Arial" w:hAnsi="Arial"/>
                <w:b/>
                <w:sz w:val="18"/>
              </w:rPr>
              <w:t>F1-score</w:t>
            </w:r>
          </w:p>
        </w:tc>
        <w:tc>
          <w:tcPr>
            <w:tcW w:type="dxa" w:w="2351"/>
            <w:shd w:fill="DCEAF3"/>
            <w:vAlign w:val="center"/>
          </w:tcPr>
          <w:p>
            <w:r>
              <w:rPr>
                <w:rFonts w:ascii="Arial" w:hAnsi="Arial"/>
                <w:b/>
                <w:sz w:val="18"/>
              </w:rPr>
              <w:t>Notes</w:t>
            </w:r>
          </w:p>
        </w:tc>
      </w:tr>
      <w:tr>
        <w:tc>
          <w:tcPr>
            <w:tcW w:type="dxa" w:w="2351"/>
          </w:tcPr>
          <w:p>
            <w:r>
              <w:rPr>
                <w:rFonts w:ascii="Times New Roman" w:hAnsi="Times New Roman"/>
                <w:sz w:val="19"/>
              </w:rPr>
              <w:t>Baseline</w:t>
            </w:r>
          </w:p>
        </w:tc>
        <w:tc>
          <w:tcPr>
            <w:tcW w:type="dxa" w:w="2351"/>
          </w:tcPr>
          <w:p>
            <w:r>
              <w:rPr>
                <w:rFonts w:ascii="Times New Roman" w:hAnsi="Times New Roman"/>
                <w:sz w:val="19"/>
              </w:rPr>
              <w:t>0.82</w:t>
            </w:r>
          </w:p>
        </w:tc>
        <w:tc>
          <w:tcPr>
            <w:tcW w:type="dxa" w:w="2351"/>
          </w:tcPr>
          <w:p>
            <w:r>
              <w:rPr>
                <w:rFonts w:ascii="Times New Roman" w:hAnsi="Times New Roman"/>
                <w:sz w:val="19"/>
              </w:rPr>
              <w:t>0.79</w:t>
            </w:r>
          </w:p>
        </w:tc>
        <w:tc>
          <w:tcPr>
            <w:tcW w:type="dxa" w:w="2351"/>
          </w:tcPr>
          <w:p>
            <w:r>
              <w:rPr>
                <w:rFonts w:ascii="Times New Roman" w:hAnsi="Times New Roman"/>
                <w:sz w:val="19"/>
              </w:rPr>
              <w:t>Single-domain model</w:t>
            </w:r>
          </w:p>
        </w:tc>
      </w:tr>
      <w:tr>
        <w:tc>
          <w:tcPr>
            <w:tcW w:type="dxa" w:w="2351"/>
          </w:tcPr>
          <w:p>
            <w:r>
              <w:rPr>
                <w:rFonts w:ascii="Times New Roman" w:hAnsi="Times New Roman"/>
                <w:sz w:val="19"/>
              </w:rPr>
              <w:t>Integrated model</w:t>
            </w:r>
          </w:p>
        </w:tc>
        <w:tc>
          <w:tcPr>
            <w:tcW w:type="dxa" w:w="2351"/>
          </w:tcPr>
          <w:p>
            <w:r>
              <w:rPr>
                <w:rFonts w:ascii="Times New Roman" w:hAnsi="Times New Roman"/>
                <w:sz w:val="19"/>
              </w:rPr>
              <w:t>0.88</w:t>
            </w:r>
          </w:p>
        </w:tc>
        <w:tc>
          <w:tcPr>
            <w:tcW w:type="dxa" w:w="2351"/>
          </w:tcPr>
          <w:p>
            <w:r>
              <w:rPr>
                <w:rFonts w:ascii="Times New Roman" w:hAnsi="Times New Roman"/>
                <w:sz w:val="19"/>
              </w:rPr>
              <w:t>0.85</w:t>
            </w:r>
          </w:p>
        </w:tc>
        <w:tc>
          <w:tcPr>
            <w:tcW w:type="dxa" w:w="2351"/>
          </w:tcPr>
          <w:p>
            <w:r>
              <w:rPr>
                <w:rFonts w:ascii="Times New Roman" w:hAnsi="Times New Roman"/>
                <w:sz w:val="19"/>
              </w:rPr>
              <w:t>Cross-domain feature fusion</w:t>
            </w:r>
          </w:p>
        </w:tc>
      </w:tr>
      <w:tr>
        <w:tc>
          <w:tcPr>
            <w:tcW w:type="dxa" w:w="2351"/>
          </w:tcPr>
          <w:p>
            <w:r>
              <w:rPr>
                <w:rFonts w:ascii="Times New Roman" w:hAnsi="Times New Roman"/>
                <w:sz w:val="19"/>
              </w:rPr>
              <w:t>Robustness test</w:t>
            </w:r>
          </w:p>
        </w:tc>
        <w:tc>
          <w:tcPr>
            <w:tcW w:type="dxa" w:w="2351"/>
          </w:tcPr>
          <w:p>
            <w:r>
              <w:rPr>
                <w:rFonts w:ascii="Times New Roman" w:hAnsi="Times New Roman"/>
                <w:sz w:val="19"/>
              </w:rPr>
              <w:t>0.85</w:t>
            </w:r>
          </w:p>
        </w:tc>
        <w:tc>
          <w:tcPr>
            <w:tcW w:type="dxa" w:w="2351"/>
          </w:tcPr>
          <w:p>
            <w:r>
              <w:rPr>
                <w:rFonts w:ascii="Times New Roman" w:hAnsi="Times New Roman"/>
                <w:sz w:val="19"/>
              </w:rPr>
              <w:t>0.82</w:t>
            </w:r>
          </w:p>
        </w:tc>
        <w:tc>
          <w:tcPr>
            <w:tcW w:type="dxa" w:w="2351"/>
          </w:tcPr>
          <w:p>
            <w:r>
              <w:rPr>
                <w:rFonts w:ascii="Times New Roman" w:hAnsi="Times New Roman"/>
                <w:sz w:val="19"/>
              </w:rPr>
              <w:t>External test subset</w:t>
            </w:r>
          </w:p>
        </w:tc>
      </w:tr>
    </w:tbl>
    <w:p>
      <w:pPr>
        <w:pStyle w:val="Instruction"/>
      </w:pPr>
      <w:r>
        <w:t>Example values above are placeholders for formatting demonstration. Replace with your own verified results.</w:t>
      </w:r>
    </w:p>
    <w:p>
      <w:pPr>
        <w:pStyle w:val="Heading1"/>
      </w:pPr>
      <w:r>
        <w:t>4. Discussion</w:t>
      </w:r>
    </w:p>
    <w:p>
      <w:pPr>
        <w:jc w:val="both"/>
      </w:pPr>
      <w:r>
        <w:t>The Discussion should interpret rather than repeat the Results. Authors should explain why the integrated approach matters scientifically, compare outcomes with prior literature, identify limitations, and distinguish evidence-supported conclusions from speculation. When citing related work, retain the original citation number whenever the same source is cited again [1].</w:t>
      </w:r>
    </w:p>
    <w:p>
      <w:pPr>
        <w:pStyle w:val="Heading1"/>
      </w:pPr>
      <w:r>
        <w:t>5. Conclusion</w:t>
      </w:r>
    </w:p>
    <w:p>
      <w:pPr>
        <w:jc w:val="both"/>
      </w:pPr>
      <w:r>
        <w:t>A concise conclusion should summarize the principal contribution and practical or scientific implications. No new analysis, figure, table, or unsupported claim should be introduced in this section.</w:t>
      </w:r>
    </w:p>
    <w:p>
      <w:pPr>
        <w:pStyle w:val="Heading1"/>
      </w:pPr>
      <w:r>
        <w:t>Declarations</w:t>
      </w:r>
    </w:p>
    <w:tbl>
      <w:tblPr>
        <w:tblStyle w:val="TableGrid"/>
        <w:tblW w:type="auto" w:w="0"/>
        <w:jc w:val="center"/>
        <w:tblLook w:firstColumn="1" w:firstRow="1" w:lastColumn="0" w:lastRow="0" w:noHBand="0" w:noVBand="1" w:val="04A0"/>
      </w:tblPr>
      <w:tblGrid>
        <w:gridCol w:w="4703"/>
        <w:gridCol w:w="4703"/>
      </w:tblGrid>
      <w:tr>
        <w:tc>
          <w:tcPr>
            <w:tcW w:type="dxa" w:w="4703"/>
            <w:shd w:fill="EDF5FA"/>
          </w:tcPr>
          <w:p>
            <w:r>
              <w:rPr>
                <w:rFonts w:ascii="Arial" w:hAnsi="Arial"/>
                <w:b/>
                <w:sz w:val="18"/>
              </w:rPr>
              <w:t>Author Contributions</w:t>
            </w:r>
          </w:p>
        </w:tc>
        <w:tc>
          <w:tcPr>
            <w:tcW w:type="dxa" w:w="4703"/>
          </w:tcPr>
          <w:p>
            <w:r>
              <w:rPr>
                <w:rFonts w:ascii="Times New Roman" w:hAnsi="Times New Roman"/>
                <w:sz w:val="19"/>
              </w:rPr>
              <w:t>Example: Conceptualization, methodology, analysis, writing, supervision, or other applicable CRediT-style roles.</w:t>
            </w:r>
          </w:p>
        </w:tc>
      </w:tr>
      <w:tr>
        <w:tc>
          <w:tcPr>
            <w:tcW w:type="dxa" w:w="4703"/>
            <w:shd w:fill="EDF5FA"/>
          </w:tcPr>
          <w:p>
            <w:r>
              <w:rPr>
                <w:rFonts w:ascii="Arial" w:hAnsi="Arial"/>
                <w:b/>
                <w:sz w:val="18"/>
              </w:rPr>
              <w:t>Funding</w:t>
            </w:r>
          </w:p>
        </w:tc>
        <w:tc>
          <w:tcPr>
            <w:tcW w:type="dxa" w:w="4703"/>
          </w:tcPr>
          <w:p>
            <w:r>
              <w:rPr>
                <w:rFonts w:ascii="Times New Roman" w:hAnsi="Times New Roman"/>
                <w:sz w:val="19"/>
              </w:rPr>
              <w:t>Example: State the funding source and grant number, or write “This research received no external funding.”</w:t>
            </w:r>
          </w:p>
        </w:tc>
      </w:tr>
      <w:tr>
        <w:tc>
          <w:tcPr>
            <w:tcW w:type="dxa" w:w="4703"/>
            <w:shd w:fill="EDF5FA"/>
          </w:tcPr>
          <w:p>
            <w:r>
              <w:rPr>
                <w:rFonts w:ascii="Arial" w:hAnsi="Arial"/>
                <w:b/>
                <w:sz w:val="18"/>
              </w:rPr>
              <w:t>Data Availability</w:t>
            </w:r>
          </w:p>
        </w:tc>
        <w:tc>
          <w:tcPr>
            <w:tcW w:type="dxa" w:w="4703"/>
          </w:tcPr>
          <w:p>
            <w:r>
              <w:rPr>
                <w:rFonts w:ascii="Times New Roman" w:hAnsi="Times New Roman"/>
                <w:sz w:val="19"/>
              </w:rPr>
              <w:t>Example: State where supporting data/code can be accessed, or explain valid restrictions.</w:t>
            </w:r>
          </w:p>
        </w:tc>
      </w:tr>
      <w:tr>
        <w:tc>
          <w:tcPr>
            <w:tcW w:type="dxa" w:w="4703"/>
            <w:shd w:fill="EDF5FA"/>
          </w:tcPr>
          <w:p>
            <w:r>
              <w:rPr>
                <w:rFonts w:ascii="Arial" w:hAnsi="Arial"/>
                <w:b/>
                <w:sz w:val="18"/>
              </w:rPr>
              <w:t>Conflicts of Interest</w:t>
            </w:r>
          </w:p>
        </w:tc>
        <w:tc>
          <w:tcPr>
            <w:tcW w:type="dxa" w:w="4703"/>
          </w:tcPr>
          <w:p>
            <w:r>
              <w:rPr>
                <w:rFonts w:ascii="Times New Roman" w:hAnsi="Times New Roman"/>
                <w:sz w:val="19"/>
              </w:rPr>
              <w:t>Example: Declare all relevant competing interests, or state that none are declared.</w:t>
            </w:r>
          </w:p>
        </w:tc>
      </w:tr>
      <w:tr>
        <w:tc>
          <w:tcPr>
            <w:tcW w:type="dxa" w:w="4703"/>
            <w:shd w:fill="EDF5FA"/>
          </w:tcPr>
          <w:p>
            <w:r>
              <w:rPr>
                <w:rFonts w:ascii="Arial" w:hAnsi="Arial"/>
                <w:b/>
                <w:sz w:val="18"/>
              </w:rPr>
              <w:t>Ethics Approval and Consent</w:t>
            </w:r>
          </w:p>
        </w:tc>
        <w:tc>
          <w:tcPr>
            <w:tcW w:type="dxa" w:w="4703"/>
          </w:tcPr>
          <w:p>
            <w:r>
              <w:rPr>
                <w:rFonts w:ascii="Times New Roman" w:hAnsi="Times New Roman"/>
                <w:sz w:val="19"/>
              </w:rPr>
              <w:t>Example: Required for applicable human/animal research; include committee name and approval identifier.</w:t>
            </w:r>
          </w:p>
        </w:tc>
      </w:tr>
      <w:tr>
        <w:tc>
          <w:tcPr>
            <w:tcW w:type="dxa" w:w="4703"/>
            <w:shd w:fill="EDF5FA"/>
          </w:tcPr>
          <w:p>
            <w:r>
              <w:rPr>
                <w:rFonts w:ascii="Arial" w:hAnsi="Arial"/>
                <w:b/>
                <w:sz w:val="18"/>
              </w:rPr>
              <w:t>Acknowledgments</w:t>
            </w:r>
          </w:p>
        </w:tc>
        <w:tc>
          <w:tcPr>
            <w:tcW w:type="dxa" w:w="4703"/>
          </w:tcPr>
          <w:p>
            <w:r>
              <w:rPr>
                <w:rFonts w:ascii="Times New Roman" w:hAnsi="Times New Roman"/>
                <w:sz w:val="19"/>
              </w:rPr>
              <w:t>Example: Recognize non-author contributions, facilities, or assistance where appropriate.</w:t>
            </w:r>
          </w:p>
        </w:tc>
      </w:tr>
      <w:tr>
        <w:tc>
          <w:tcPr>
            <w:tcW w:type="dxa" w:w="4703"/>
            <w:shd w:fill="EDF5FA"/>
          </w:tcPr>
          <w:p>
            <w:r>
              <w:rPr>
                <w:rFonts w:ascii="Arial" w:hAnsi="Arial"/>
                <w:b/>
                <w:sz w:val="18"/>
              </w:rPr>
              <w:t>AI-use Disclosure</w:t>
            </w:r>
          </w:p>
        </w:tc>
        <w:tc>
          <w:tcPr>
            <w:tcW w:type="dxa" w:w="4703"/>
          </w:tcPr>
          <w:p>
            <w:r>
              <w:rPr>
                <w:rFonts w:ascii="Times New Roman" w:hAnsi="Times New Roman"/>
                <w:sz w:val="19"/>
              </w:rPr>
              <w:t>Example: If generative AI or AI-assisted tools were used in manuscript preparation, disclose the permitted use transparently according to journal policy.</w:t>
            </w:r>
          </w:p>
        </w:tc>
      </w:tr>
    </w:tbl>
    <w:p>
      <w:pPr>
        <w:pStyle w:val="Heading1"/>
      </w:pPr>
      <w:r>
        <w:t>Citation and Reference Numbering</w:t>
      </w:r>
    </w:p>
    <w:p>
      <w:r>
        <w:rPr>
          <w:rFonts w:ascii="Times New Roman" w:hAnsi="Times New Roman"/>
          <w:sz w:val="22"/>
        </w:rPr>
        <w:t>EJSII uses numbered citations in square brackets, assigned in the order in which sources first appear in the manuscript.</w:t>
      </w:r>
    </w:p>
    <w:p>
      <w:pPr>
        <w:ind w:left="340" w:hanging="170"/>
      </w:pPr>
      <w:r>
        <w:rPr>
          <w:rFonts w:ascii="Times New Roman" w:hAnsi="Times New Roman"/>
          <w:sz w:val="21"/>
        </w:rPr>
        <w:t>• One source: [1]</w:t>
      </w:r>
    </w:p>
    <w:p>
      <w:pPr>
        <w:ind w:left="340" w:hanging="170"/>
      </w:pPr>
      <w:r>
        <w:rPr>
          <w:rFonts w:ascii="Times New Roman" w:hAnsi="Times New Roman"/>
          <w:sz w:val="21"/>
        </w:rPr>
        <w:t>• Two non-consecutive sources: [1, 4]</w:t>
      </w:r>
    </w:p>
    <w:p>
      <w:pPr>
        <w:ind w:left="340" w:hanging="170"/>
      </w:pPr>
      <w:r>
        <w:rPr>
          <w:rFonts w:ascii="Times New Roman" w:hAnsi="Times New Roman"/>
          <w:sz w:val="21"/>
        </w:rPr>
        <w:t>• Three or more non-consecutive sources: [1, 4, 7]</w:t>
      </w:r>
    </w:p>
    <w:p>
      <w:pPr>
        <w:ind w:left="340" w:hanging="170"/>
      </w:pPr>
      <w:r>
        <w:rPr>
          <w:rFonts w:ascii="Times New Roman" w:hAnsi="Times New Roman"/>
          <w:sz w:val="21"/>
        </w:rPr>
        <w:t>• Consecutive range: [3-6]</w:t>
      </w:r>
    </w:p>
    <w:p>
      <w:pPr>
        <w:ind w:left="340" w:hanging="170"/>
      </w:pPr>
      <w:r>
        <w:rPr>
          <w:rFonts w:ascii="Times New Roman" w:hAnsi="Times New Roman"/>
          <w:sz w:val="21"/>
        </w:rPr>
        <w:t>• Mixed example: [2, 5-8, 11]</w:t>
      </w:r>
    </w:p>
    <w:p>
      <w:pPr>
        <w:ind w:left="340" w:hanging="170"/>
      </w:pPr>
      <w:r>
        <w:rPr>
          <w:rFonts w:ascii="Times New Roman" w:hAnsi="Times New Roman"/>
          <w:sz w:val="21"/>
        </w:rPr>
        <w:t>• Repeat citation: reuse the same original number; do not assign a new number.</w:t>
      </w:r>
    </w:p>
    <w:p>
      <w:r>
        <w:rPr>
          <w:rFonts w:ascii="Times New Roman" w:hAnsi="Times New Roman"/>
          <w:b/>
          <w:sz w:val="21"/>
        </w:rPr>
        <w:t xml:space="preserve">Example in text: </w:t>
      </w:r>
      <w:r>
        <w:rPr>
          <w:rFonts w:ascii="Times New Roman" w:hAnsi="Times New Roman"/>
          <w:sz w:val="21"/>
        </w:rPr>
        <w:t>Recent interdisciplinary studies have combined remote sensing with machine learning for hazard assessment [1, 2]. Related approaches have also examined multimodal fusion [3-5].</w:t>
      </w:r>
    </w:p>
    <w:p>
      <w:pPr>
        <w:pStyle w:val="Heading2"/>
      </w:pPr>
      <w:r>
        <w:t>Reference List Examples</w:t>
      </w:r>
    </w:p>
    <w:p>
      <w:pPr>
        <w:ind w:left="312" w:hanging="312"/>
      </w:pPr>
      <w:r>
        <w:rPr>
          <w:rFonts w:ascii="Times New Roman" w:hAnsi="Times New Roman"/>
          <w:sz w:val="20"/>
        </w:rPr>
        <w:t>[1] A. Author and B. Author, “Article title,” Journal Title, vol. 12, no. 3, pp. 101-115, 2026, doi: 10.xxxx/xxxxx.</w:t>
      </w:r>
    </w:p>
    <w:p>
      <w:pPr>
        <w:ind w:left="312" w:hanging="312"/>
      </w:pPr>
      <w:r>
        <w:rPr>
          <w:rFonts w:ascii="Times New Roman" w:hAnsi="Times New Roman"/>
          <w:sz w:val="20"/>
        </w:rPr>
        <w:t>[2] C. Author, Book Title, 2nd ed. City: Publisher, 2025.</w:t>
      </w:r>
    </w:p>
    <w:p>
      <w:pPr>
        <w:ind w:left="312" w:hanging="312"/>
      </w:pPr>
      <w:r>
        <w:rPr>
          <w:rFonts w:ascii="Times New Roman" w:hAnsi="Times New Roman"/>
          <w:sz w:val="20"/>
        </w:rPr>
        <w:t>[3] Organization Name, “Report or dataset title,” 2026. [Online]. Available: https://example.org. Accessed: 23 Sep. 2026.</w:t>
      </w:r>
    </w:p>
    <w:sectPr w:rsidR="00FC693F" w:rsidRPr="0006063C" w:rsidSect="00034616">
      <w:headerReference w:type="default" r:id="rId9"/>
      <w:footerReference w:type="default" r:id="rId10"/>
      <w:pgSz w:w="12240" w:h="15840"/>
      <w:pgMar w:top="1304" w:right="1417" w:bottom="1304" w:left="1417" w:header="567" w:footer="624" w:gutter="0"/>
      <w:cols w:space="720"/>
      <w:docGrid w:linePitch="360"/>
      <w:lnNumType w:countBy="1" w:start="1" w:restart="continuous" w:distance="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
      <w:rPr>
        <w:rFonts w:ascii="Times New Roman" w:hAnsi="Times New Roman"/>
        <w:sz w:val="18"/>
      </w:rP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Arial" w:hAnsi="Arial"/>
        <w:b/>
        <w:color w:val="315B75"/>
        <w:sz w:val="17"/>
      </w:rPr>
      <w:t>EJSII | European Journal of Scientific Integration and Innovation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Times New Roman" w:hAnsi="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ascii="Times New Roman" w:hAnsi="Times New Roman"/>
      <w:b/>
      <w:bCs/>
      <w:color w:val="365F91" w:themeColor="accent1" w:themeShade="BF"/>
      <w:sz w:val="26"/>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Times New Roman" w:hAnsi="Times New Roman"/>
      <w:b/>
      <w:bCs/>
      <w:color w:val="4F81BD" w:themeColor="accent1"/>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200"/>
      <w:contextualSpacing/>
    </w:pPr>
    <w:rPr>
      <w:rFonts w:asciiTheme="majorHAnsi" w:eastAsiaTheme="majorEastAsia" w:hAnsiTheme="majorHAnsi" w:cstheme="majorBidi" w:ascii="Times New Roman" w:hAnsi="Times New Roman"/>
      <w:b/>
      <w:color w:val="17365D" w:themeColor="text2" w:themeShade="BF"/>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Instruction">
    <w:name w:val="Instruction"/>
    <w:pPr>
      <w:spacing w:after="100"/>
    </w:pPr>
    <w:rPr>
      <w:rFonts w:ascii="Arial" w:hAnsi="Arial"/>
      <w:i/>
      <w:color w:val="5A6973"/>
      <w:sz w:val="18"/>
    </w:rPr>
  </w:style>
  <w:style w:type="paragraph" w:customStyle="1" w:styleId="CaptionEJSII">
    <w:name w:val="Caption EJSII"/>
    <w:pPr>
      <w:spacing w:before="80" w:after="160"/>
    </w:pPr>
    <w:rPr>
      <w:rFonts w:ascii="Times New Roman" w:hAnsi="Times New Roman"/>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